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AFDAB" w14:textId="77777777" w:rsidR="003E6D23" w:rsidRPr="00FB47D1" w:rsidRDefault="00A5615F" w:rsidP="00A014C7">
      <w:pPr>
        <w:pStyle w:val="ListParagraph"/>
        <w:numPr>
          <w:ilvl w:val="0"/>
          <w:numId w:val="1"/>
        </w:numPr>
        <w:tabs>
          <w:tab w:val="left" w:pos="582"/>
        </w:tabs>
        <w:spacing w:before="240"/>
        <w:ind w:left="361"/>
        <w:jc w:val="both"/>
      </w:pPr>
      <w:r w:rsidRPr="00FB47D1">
        <w:t>The Queensland Government accepted all six recommendations from the Findings of Inquest into the death of 22 month old Mason Jet Lee delivered by Deputy State Coroner Bentley of the Coroners Court of Queensland on 2 June 2020.</w:t>
      </w:r>
    </w:p>
    <w:p w14:paraId="618AFDAC" w14:textId="77777777" w:rsidR="003E6D23" w:rsidRPr="00FB47D1" w:rsidRDefault="00A5615F" w:rsidP="00A014C7">
      <w:pPr>
        <w:pStyle w:val="ListParagraph"/>
        <w:numPr>
          <w:ilvl w:val="0"/>
          <w:numId w:val="1"/>
        </w:numPr>
        <w:tabs>
          <w:tab w:val="left" w:pos="582"/>
        </w:tabs>
        <w:spacing w:before="240"/>
        <w:ind w:left="361"/>
        <w:jc w:val="both"/>
      </w:pPr>
      <w:r w:rsidRPr="00FB47D1">
        <w:t>In accepting recommendation six, related to permanency and adoption for children in care, the Queensland Government committed to working with stakeholders to progress the recommendation, including legislation.</w:t>
      </w:r>
    </w:p>
    <w:p w14:paraId="618AFDAD" w14:textId="5180B64B" w:rsidR="003E6D23" w:rsidRPr="00FB47D1" w:rsidRDefault="00A5615F" w:rsidP="00A014C7">
      <w:pPr>
        <w:pStyle w:val="ListParagraph"/>
        <w:numPr>
          <w:ilvl w:val="0"/>
          <w:numId w:val="1"/>
        </w:numPr>
        <w:tabs>
          <w:tab w:val="left" w:pos="582"/>
        </w:tabs>
        <w:spacing w:before="240"/>
        <w:ind w:left="361"/>
        <w:jc w:val="both"/>
      </w:pPr>
      <w:r w:rsidRPr="00FB47D1">
        <w:t>To build on the significant reforms made since Mason’s tragic death to improve permanency outcomes for children involved in the child protection system, the Child Protection and Other Legislation Amendment Bill 2020 amend</w:t>
      </w:r>
      <w:r w:rsidR="00C72BF1" w:rsidRPr="00FB47D1">
        <w:t>s</w:t>
      </w:r>
      <w:r w:rsidRPr="00FB47D1">
        <w:t xml:space="preserve"> the </w:t>
      </w:r>
      <w:r w:rsidRPr="00FB47D1">
        <w:rPr>
          <w:i/>
        </w:rPr>
        <w:t xml:space="preserve">Child Protection Act 1999 </w:t>
      </w:r>
      <w:r w:rsidRPr="00FB47D1">
        <w:t>to:</w:t>
      </w:r>
    </w:p>
    <w:p w14:paraId="618AFDAE" w14:textId="2AACD750" w:rsidR="003E6D23" w:rsidRPr="00FB47D1" w:rsidRDefault="00A5615F" w:rsidP="00A014C7">
      <w:pPr>
        <w:pStyle w:val="ListParagraph"/>
        <w:numPr>
          <w:ilvl w:val="1"/>
          <w:numId w:val="1"/>
        </w:numPr>
        <w:tabs>
          <w:tab w:val="left" w:pos="1002"/>
        </w:tabs>
        <w:spacing w:before="120"/>
        <w:ind w:left="760" w:hanging="363"/>
      </w:pPr>
      <w:r w:rsidRPr="00FB47D1">
        <w:t>strengthen and clarify Queensland’s permanency framework by explicitly providing for consideration of adoption as part of the suite of long</w:t>
      </w:r>
      <w:r w:rsidR="00613BC4" w:rsidRPr="00FB47D1">
        <w:t>-</w:t>
      </w:r>
      <w:r w:rsidRPr="00FB47D1">
        <w:t>term care mechanisms available, upholding all existing safeguards and recognising that adoption is generally not an appropriate option to achieve permanency for an Aboriginal or Torres Strait Islander child</w:t>
      </w:r>
    </w:p>
    <w:p w14:paraId="618AFDAF" w14:textId="3750A1DC" w:rsidR="003E6D23" w:rsidRPr="00FB47D1" w:rsidRDefault="00A5615F" w:rsidP="00A014C7">
      <w:pPr>
        <w:pStyle w:val="ListParagraph"/>
        <w:numPr>
          <w:ilvl w:val="1"/>
          <w:numId w:val="1"/>
        </w:numPr>
        <w:tabs>
          <w:tab w:val="left" w:pos="1002"/>
        </w:tabs>
        <w:spacing w:before="120"/>
        <w:ind w:left="760" w:hanging="363"/>
      </w:pPr>
      <w:r w:rsidRPr="00FB47D1">
        <w:t>improve permanency planning for children subject to long</w:t>
      </w:r>
      <w:r w:rsidR="00613BC4" w:rsidRPr="00FB47D1">
        <w:t>-</w:t>
      </w:r>
      <w:r w:rsidRPr="00FB47D1">
        <w:t xml:space="preserve">term guardianship to the chief executive (Child Safety), noting this </w:t>
      </w:r>
      <w:r w:rsidR="00EF63D0" w:rsidRPr="00FB47D1">
        <w:t xml:space="preserve">will remain </w:t>
      </w:r>
      <w:r w:rsidRPr="00FB47D1">
        <w:t>the least preferred option in Queensland’s permanency hierarchy</w:t>
      </w:r>
      <w:r w:rsidR="00111348" w:rsidRPr="00FB47D1">
        <w:t xml:space="preserve"> for children other than Aboriginal or Torres Strait Islander children</w:t>
      </w:r>
    </w:p>
    <w:p w14:paraId="618AFDB0" w14:textId="77777777" w:rsidR="003E6D23" w:rsidRPr="00FB47D1" w:rsidRDefault="00A5615F" w:rsidP="00A014C7">
      <w:pPr>
        <w:pStyle w:val="ListParagraph"/>
        <w:numPr>
          <w:ilvl w:val="1"/>
          <w:numId w:val="1"/>
        </w:numPr>
        <w:tabs>
          <w:tab w:val="left" w:pos="1002"/>
        </w:tabs>
        <w:spacing w:before="120"/>
        <w:ind w:left="760" w:hanging="363"/>
      </w:pPr>
      <w:r w:rsidRPr="00FB47D1">
        <w:t>ensure there are clear and robust safeguards in permanency planning where adoption is being considered.</w:t>
      </w:r>
    </w:p>
    <w:p w14:paraId="618AFDB1" w14:textId="2B5E373C" w:rsidR="003E6D23" w:rsidRPr="00FB47D1" w:rsidRDefault="00A5615F" w:rsidP="00A014C7">
      <w:pPr>
        <w:pStyle w:val="ListParagraph"/>
        <w:numPr>
          <w:ilvl w:val="0"/>
          <w:numId w:val="1"/>
        </w:numPr>
        <w:tabs>
          <w:tab w:val="left" w:pos="582"/>
        </w:tabs>
        <w:spacing w:before="240"/>
        <w:ind w:left="361"/>
        <w:jc w:val="both"/>
      </w:pPr>
      <w:r w:rsidRPr="00FB47D1">
        <w:t>Together</w:t>
      </w:r>
      <w:r w:rsidR="00613BC4" w:rsidRPr="00FB47D1">
        <w:t>,</w:t>
      </w:r>
      <w:r w:rsidRPr="00FB47D1">
        <w:t xml:space="preserve"> these amendments achieve the policy intent of the Deputy State Coroner’s recommendation to strengthen and clarify Queensland’s permanency framework to ensure timely and appropriate permanency outcomes are achieved for children that meet their best interests now and throughout their lives.</w:t>
      </w:r>
    </w:p>
    <w:p w14:paraId="618AFDB3" w14:textId="17BF97A6" w:rsidR="003E6D23" w:rsidRPr="00FB47D1" w:rsidRDefault="00A5615F" w:rsidP="00A014C7">
      <w:pPr>
        <w:pStyle w:val="ListParagraph"/>
        <w:numPr>
          <w:ilvl w:val="0"/>
          <w:numId w:val="1"/>
        </w:numPr>
        <w:tabs>
          <w:tab w:val="left" w:pos="582"/>
        </w:tabs>
        <w:spacing w:before="240"/>
        <w:ind w:left="361"/>
        <w:jc w:val="both"/>
      </w:pPr>
      <w:r w:rsidRPr="00FB47D1">
        <w:t>The Child Protection and Other Legislation Amendment Bill 2020 also includes minor and technical amendments that are unrelated to the Deputy State Coroner’s recommendation. These minor amendments are required following machinery of government changes to ensure that several inter-country adoptions may be finalised.</w:t>
      </w:r>
    </w:p>
    <w:p w14:paraId="618AFDB4" w14:textId="77777777" w:rsidR="003E6D23" w:rsidRPr="00FB47D1" w:rsidRDefault="00A5615F" w:rsidP="00A014C7">
      <w:pPr>
        <w:pStyle w:val="ListParagraph"/>
        <w:numPr>
          <w:ilvl w:val="0"/>
          <w:numId w:val="1"/>
        </w:numPr>
        <w:tabs>
          <w:tab w:val="left" w:pos="582"/>
        </w:tabs>
        <w:spacing w:before="240"/>
        <w:ind w:left="361"/>
        <w:jc w:val="both"/>
      </w:pPr>
      <w:r w:rsidRPr="00FB47D1">
        <w:rPr>
          <w:u w:val="single"/>
        </w:rPr>
        <w:t>Cabinet approved</w:t>
      </w:r>
      <w:r w:rsidRPr="00FB47D1">
        <w:t xml:space="preserve"> the introduction of the Child Protection and Other Legislation Amendment Bill 2020 into the Legislative Assembly.</w:t>
      </w:r>
    </w:p>
    <w:p w14:paraId="618AFDB5" w14:textId="6AFEF16C" w:rsidR="003E6D23" w:rsidRPr="00FB47D1" w:rsidRDefault="00A5615F" w:rsidP="00A014C7">
      <w:pPr>
        <w:pStyle w:val="ListParagraph"/>
        <w:numPr>
          <w:ilvl w:val="0"/>
          <w:numId w:val="1"/>
        </w:numPr>
        <w:tabs>
          <w:tab w:val="left" w:pos="582"/>
        </w:tabs>
        <w:spacing w:before="360"/>
        <w:ind w:left="361"/>
        <w:jc w:val="both"/>
        <w:rPr>
          <w:i/>
        </w:rPr>
      </w:pPr>
      <w:r w:rsidRPr="00FB47D1">
        <w:rPr>
          <w:i/>
          <w:u w:val="single"/>
        </w:rPr>
        <w:t>Attachments</w:t>
      </w:r>
    </w:p>
    <w:p w14:paraId="618AFDB6" w14:textId="72818E13" w:rsidR="003E6D23" w:rsidRPr="00FB47D1" w:rsidRDefault="00703DDF" w:rsidP="00A014C7">
      <w:pPr>
        <w:pStyle w:val="ListParagraph"/>
        <w:numPr>
          <w:ilvl w:val="1"/>
          <w:numId w:val="1"/>
        </w:numPr>
        <w:spacing w:before="120"/>
        <w:ind w:left="760" w:hanging="363"/>
      </w:pPr>
      <w:hyperlink r:id="rId11" w:history="1">
        <w:r w:rsidR="00A5615F" w:rsidRPr="00FB47D1">
          <w:rPr>
            <w:rStyle w:val="Hyperlink"/>
          </w:rPr>
          <w:t>Child Protection and Other Legislation Amendment Bill 2020</w:t>
        </w:r>
      </w:hyperlink>
    </w:p>
    <w:p w14:paraId="618AFDB7" w14:textId="17D06E8B" w:rsidR="003E6D23" w:rsidRPr="00FB47D1" w:rsidRDefault="00703DDF" w:rsidP="00A014C7">
      <w:pPr>
        <w:pStyle w:val="ListParagraph"/>
        <w:numPr>
          <w:ilvl w:val="1"/>
          <w:numId w:val="1"/>
        </w:numPr>
        <w:spacing w:before="120"/>
        <w:ind w:left="760" w:hanging="363"/>
      </w:pPr>
      <w:hyperlink r:id="rId12" w:history="1">
        <w:r w:rsidR="00A5615F" w:rsidRPr="00FB47D1">
          <w:rPr>
            <w:rStyle w:val="Hyperlink"/>
          </w:rPr>
          <w:t>Explanatory Notes</w:t>
        </w:r>
      </w:hyperlink>
    </w:p>
    <w:p w14:paraId="00D61BC5" w14:textId="6F45E83D" w:rsidR="00111348" w:rsidRPr="00FB47D1" w:rsidRDefault="00703DDF" w:rsidP="00A014C7">
      <w:pPr>
        <w:pStyle w:val="ListParagraph"/>
        <w:numPr>
          <w:ilvl w:val="1"/>
          <w:numId w:val="1"/>
        </w:numPr>
        <w:spacing w:before="120"/>
        <w:ind w:left="760" w:hanging="363"/>
      </w:pPr>
      <w:hyperlink r:id="rId13" w:history="1">
        <w:r w:rsidR="00111348" w:rsidRPr="00FB47D1">
          <w:rPr>
            <w:rStyle w:val="Hyperlink"/>
          </w:rPr>
          <w:t>Statement of Compatibility</w:t>
        </w:r>
      </w:hyperlink>
    </w:p>
    <w:sectPr w:rsidR="00111348" w:rsidRPr="00FB47D1" w:rsidSect="00D93F6D">
      <w:headerReference w:type="default" r:id="rId14"/>
      <w:type w:val="continuous"/>
      <w:pgSz w:w="11907"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469CA" w14:textId="77777777" w:rsidR="00D56FE3" w:rsidRDefault="00D56FE3" w:rsidP="00B84C73">
      <w:r>
        <w:separator/>
      </w:r>
    </w:p>
  </w:endnote>
  <w:endnote w:type="continuationSeparator" w:id="0">
    <w:p w14:paraId="41368584" w14:textId="77777777" w:rsidR="00D56FE3" w:rsidRDefault="00D56FE3" w:rsidP="00B8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4B490" w14:textId="77777777" w:rsidR="00D56FE3" w:rsidRDefault="00D56FE3" w:rsidP="00B84C73">
      <w:r>
        <w:separator/>
      </w:r>
    </w:p>
  </w:footnote>
  <w:footnote w:type="continuationSeparator" w:id="0">
    <w:p w14:paraId="1BEC33FD" w14:textId="77777777" w:rsidR="00D56FE3" w:rsidRDefault="00D56FE3" w:rsidP="00B84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D8F5" w14:textId="77777777" w:rsidR="00B84C73" w:rsidRPr="00937A4A" w:rsidRDefault="00B84C73" w:rsidP="00B84C73">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49C9EE05" w14:textId="77777777" w:rsidR="00B84C73" w:rsidRPr="00937A4A" w:rsidRDefault="00B84C73" w:rsidP="00B84C73">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62BD0670" w14:textId="7FDF6ECD" w:rsidR="00B84C73" w:rsidRPr="00937A4A" w:rsidRDefault="00B84C73" w:rsidP="00B84C73">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July 2020</w:t>
    </w:r>
  </w:p>
  <w:p w14:paraId="08ACE19D" w14:textId="3DB7FB03" w:rsidR="00B84C73" w:rsidRDefault="00B84C73" w:rsidP="00B84C73">
    <w:pPr>
      <w:pStyle w:val="Header"/>
      <w:spacing w:before="120"/>
      <w:rPr>
        <w:b/>
        <w:u w:val="single"/>
      </w:rPr>
    </w:pPr>
    <w:r>
      <w:rPr>
        <w:b/>
        <w:u w:val="single"/>
      </w:rPr>
      <w:t>Child Protection and Other Legislation Amendment Bill 2020</w:t>
    </w:r>
  </w:p>
  <w:p w14:paraId="6B57FF3A" w14:textId="111D43EB" w:rsidR="00B84C73" w:rsidRDefault="00B84C73" w:rsidP="00B84C73">
    <w:pPr>
      <w:pStyle w:val="Header"/>
      <w:spacing w:before="120"/>
      <w:rPr>
        <w:b/>
        <w:u w:val="single"/>
      </w:rPr>
    </w:pPr>
    <w:r>
      <w:rPr>
        <w:b/>
        <w:u w:val="single"/>
      </w:rPr>
      <w:t>Minister for Child Safety, Youth and Women and Minister for the Prevention of Domestic and Family Violence</w:t>
    </w:r>
  </w:p>
  <w:p w14:paraId="31AC9CD5" w14:textId="77777777" w:rsidR="00B84C73" w:rsidRDefault="00B84C73" w:rsidP="00A014C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06AE9"/>
    <w:multiLevelType w:val="hybridMultilevel"/>
    <w:tmpl w:val="45BA7310"/>
    <w:lvl w:ilvl="0" w:tplc="AB06A192">
      <w:start w:val="1"/>
      <w:numFmt w:val="decimal"/>
      <w:lvlText w:val="%1."/>
      <w:lvlJc w:val="left"/>
      <w:pPr>
        <w:ind w:left="581" w:hanging="361"/>
        <w:jc w:val="left"/>
      </w:pPr>
      <w:rPr>
        <w:rFonts w:ascii="Arial" w:eastAsia="Arial" w:hAnsi="Arial" w:cs="Arial" w:hint="default"/>
        <w:i w:val="0"/>
        <w:spacing w:val="0"/>
        <w:w w:val="90"/>
        <w:sz w:val="22"/>
        <w:szCs w:val="22"/>
      </w:rPr>
    </w:lvl>
    <w:lvl w:ilvl="1" w:tplc="4BAA2D60">
      <w:numFmt w:val="bullet"/>
      <w:lvlText w:val=""/>
      <w:lvlJc w:val="left"/>
      <w:pPr>
        <w:ind w:left="1002" w:hanging="361"/>
      </w:pPr>
      <w:rPr>
        <w:rFonts w:ascii="Symbol" w:eastAsia="Symbol" w:hAnsi="Symbol" w:cs="Symbol" w:hint="default"/>
        <w:w w:val="93"/>
        <w:sz w:val="21"/>
        <w:szCs w:val="21"/>
      </w:rPr>
    </w:lvl>
    <w:lvl w:ilvl="2" w:tplc="01AA275C">
      <w:numFmt w:val="bullet"/>
      <w:lvlText w:val="•"/>
      <w:lvlJc w:val="left"/>
      <w:pPr>
        <w:ind w:left="1020" w:hanging="361"/>
      </w:pPr>
      <w:rPr>
        <w:rFonts w:hint="default"/>
      </w:rPr>
    </w:lvl>
    <w:lvl w:ilvl="3" w:tplc="44D87DDA">
      <w:numFmt w:val="bullet"/>
      <w:lvlText w:val="•"/>
      <w:lvlJc w:val="left"/>
      <w:pPr>
        <w:ind w:left="2152" w:hanging="361"/>
      </w:pPr>
      <w:rPr>
        <w:rFonts w:hint="default"/>
      </w:rPr>
    </w:lvl>
    <w:lvl w:ilvl="4" w:tplc="B9FC84F0">
      <w:numFmt w:val="bullet"/>
      <w:lvlText w:val="•"/>
      <w:lvlJc w:val="left"/>
      <w:pPr>
        <w:ind w:left="3284" w:hanging="361"/>
      </w:pPr>
      <w:rPr>
        <w:rFonts w:hint="default"/>
      </w:rPr>
    </w:lvl>
    <w:lvl w:ilvl="5" w:tplc="49F25B74">
      <w:numFmt w:val="bullet"/>
      <w:lvlText w:val="•"/>
      <w:lvlJc w:val="left"/>
      <w:pPr>
        <w:ind w:left="4416" w:hanging="361"/>
      </w:pPr>
      <w:rPr>
        <w:rFonts w:hint="default"/>
      </w:rPr>
    </w:lvl>
    <w:lvl w:ilvl="6" w:tplc="DD3A93A8">
      <w:numFmt w:val="bullet"/>
      <w:lvlText w:val="•"/>
      <w:lvlJc w:val="left"/>
      <w:pPr>
        <w:ind w:left="5548" w:hanging="361"/>
      </w:pPr>
      <w:rPr>
        <w:rFonts w:hint="default"/>
      </w:rPr>
    </w:lvl>
    <w:lvl w:ilvl="7" w:tplc="03760584">
      <w:numFmt w:val="bullet"/>
      <w:lvlText w:val="•"/>
      <w:lvlJc w:val="left"/>
      <w:pPr>
        <w:ind w:left="6680" w:hanging="361"/>
      </w:pPr>
      <w:rPr>
        <w:rFonts w:hint="default"/>
      </w:rPr>
    </w:lvl>
    <w:lvl w:ilvl="8" w:tplc="F8D0F6DE">
      <w:numFmt w:val="bullet"/>
      <w:lvlText w:val="•"/>
      <w:lvlJc w:val="left"/>
      <w:pPr>
        <w:ind w:left="781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E6D23"/>
    <w:rsid w:val="00111348"/>
    <w:rsid w:val="003E6D23"/>
    <w:rsid w:val="005A6784"/>
    <w:rsid w:val="00613BC4"/>
    <w:rsid w:val="00703DDF"/>
    <w:rsid w:val="00A014C7"/>
    <w:rsid w:val="00A5615F"/>
    <w:rsid w:val="00B84C73"/>
    <w:rsid w:val="00C72BF1"/>
    <w:rsid w:val="00D0257B"/>
    <w:rsid w:val="00D56FE3"/>
    <w:rsid w:val="00D6289F"/>
    <w:rsid w:val="00D93F6D"/>
    <w:rsid w:val="00EF63D0"/>
    <w:rsid w:val="00F17406"/>
    <w:rsid w:val="00F83CFE"/>
    <w:rsid w:val="00FB47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rPr>
      <w:sz w:val="21"/>
      <w:szCs w:val="21"/>
    </w:rPr>
  </w:style>
  <w:style w:type="paragraph" w:styleId="ListParagraph">
    <w:name w:val="List Paragraph"/>
    <w:basedOn w:val="Normal"/>
    <w:uiPriority w:val="1"/>
    <w:qFormat/>
    <w:pPr>
      <w:spacing w:before="76"/>
      <w:ind w:left="581" w:hanging="361"/>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5615F"/>
    <w:rPr>
      <w:sz w:val="16"/>
      <w:szCs w:val="16"/>
    </w:rPr>
  </w:style>
  <w:style w:type="paragraph" w:styleId="CommentText">
    <w:name w:val="annotation text"/>
    <w:basedOn w:val="Normal"/>
    <w:link w:val="CommentTextChar"/>
    <w:uiPriority w:val="99"/>
    <w:semiHidden/>
    <w:unhideWhenUsed/>
    <w:rsid w:val="00A5615F"/>
    <w:rPr>
      <w:sz w:val="20"/>
      <w:szCs w:val="20"/>
    </w:rPr>
  </w:style>
  <w:style w:type="character" w:customStyle="1" w:styleId="CommentTextChar">
    <w:name w:val="Comment Text Char"/>
    <w:basedOn w:val="DefaultParagraphFont"/>
    <w:link w:val="CommentText"/>
    <w:uiPriority w:val="99"/>
    <w:semiHidden/>
    <w:rsid w:val="00A5615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5615F"/>
    <w:rPr>
      <w:b/>
      <w:bCs/>
    </w:rPr>
  </w:style>
  <w:style w:type="character" w:customStyle="1" w:styleId="CommentSubjectChar">
    <w:name w:val="Comment Subject Char"/>
    <w:basedOn w:val="CommentTextChar"/>
    <w:link w:val="CommentSubject"/>
    <w:uiPriority w:val="99"/>
    <w:semiHidden/>
    <w:rsid w:val="00A5615F"/>
    <w:rPr>
      <w:rFonts w:ascii="Arial" w:eastAsia="Arial" w:hAnsi="Arial" w:cs="Arial"/>
      <w:b/>
      <w:bCs/>
      <w:sz w:val="20"/>
      <w:szCs w:val="20"/>
    </w:rPr>
  </w:style>
  <w:style w:type="paragraph" w:styleId="BalloonText">
    <w:name w:val="Balloon Text"/>
    <w:basedOn w:val="Normal"/>
    <w:link w:val="BalloonTextChar"/>
    <w:uiPriority w:val="99"/>
    <w:semiHidden/>
    <w:unhideWhenUsed/>
    <w:rsid w:val="00A56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15F"/>
    <w:rPr>
      <w:rFonts w:ascii="Segoe UI" w:eastAsia="Arial" w:hAnsi="Segoe UI" w:cs="Segoe UI"/>
      <w:sz w:val="18"/>
      <w:szCs w:val="18"/>
    </w:rPr>
  </w:style>
  <w:style w:type="paragraph" w:styleId="Header">
    <w:name w:val="header"/>
    <w:basedOn w:val="Normal"/>
    <w:link w:val="HeaderChar"/>
    <w:uiPriority w:val="99"/>
    <w:unhideWhenUsed/>
    <w:rsid w:val="00B84C73"/>
    <w:pPr>
      <w:tabs>
        <w:tab w:val="center" w:pos="4513"/>
        <w:tab w:val="right" w:pos="9026"/>
      </w:tabs>
    </w:pPr>
  </w:style>
  <w:style w:type="character" w:customStyle="1" w:styleId="HeaderChar">
    <w:name w:val="Header Char"/>
    <w:basedOn w:val="DefaultParagraphFont"/>
    <w:link w:val="Header"/>
    <w:uiPriority w:val="99"/>
    <w:rsid w:val="00B84C73"/>
    <w:rPr>
      <w:rFonts w:ascii="Arial" w:eastAsia="Arial" w:hAnsi="Arial" w:cs="Arial"/>
    </w:rPr>
  </w:style>
  <w:style w:type="paragraph" w:styleId="Footer">
    <w:name w:val="footer"/>
    <w:basedOn w:val="Normal"/>
    <w:link w:val="FooterChar"/>
    <w:uiPriority w:val="99"/>
    <w:unhideWhenUsed/>
    <w:rsid w:val="00B84C73"/>
    <w:pPr>
      <w:tabs>
        <w:tab w:val="center" w:pos="4513"/>
        <w:tab w:val="right" w:pos="9026"/>
      </w:tabs>
    </w:pPr>
  </w:style>
  <w:style w:type="character" w:customStyle="1" w:styleId="FooterChar">
    <w:name w:val="Footer Char"/>
    <w:basedOn w:val="DefaultParagraphFont"/>
    <w:link w:val="Footer"/>
    <w:uiPriority w:val="99"/>
    <w:rsid w:val="00B84C73"/>
    <w:rPr>
      <w:rFonts w:ascii="Arial" w:eastAsia="Arial" w:hAnsi="Arial" w:cs="Arial"/>
    </w:rPr>
  </w:style>
  <w:style w:type="character" w:styleId="Hyperlink">
    <w:name w:val="Hyperlink"/>
    <w:basedOn w:val="DefaultParagraphFont"/>
    <w:uiPriority w:val="99"/>
    <w:unhideWhenUsed/>
    <w:rsid w:val="00FB47D1"/>
    <w:rPr>
      <w:color w:val="0000FF" w:themeColor="hyperlink"/>
      <w:u w:val="single"/>
    </w:rPr>
  </w:style>
  <w:style w:type="character" w:styleId="UnresolvedMention">
    <w:name w:val="Unresolved Mention"/>
    <w:basedOn w:val="DefaultParagraphFont"/>
    <w:uiPriority w:val="99"/>
    <w:semiHidden/>
    <w:unhideWhenUsed/>
    <w:rsid w:val="00FB4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tachments/HRSoC.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C37C55-B8A1-4D30-B881-BF76408492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6F425D-A4AF-4AE2-9F77-B448567F5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F6AE26-E81E-4365-AD7C-1BB8701ED139}">
  <ds:schemaRefs>
    <ds:schemaRef ds:uri="http://schemas.openxmlformats.org/officeDocument/2006/bibliography"/>
  </ds:schemaRefs>
</ds:datastoreItem>
</file>

<file path=customXml/itemProps4.xml><?xml version="1.0" encoding="utf-8"?>
<ds:datastoreItem xmlns:ds="http://schemas.openxmlformats.org/officeDocument/2006/customXml" ds:itemID="{C12F0A12-7E93-405D-9DDA-20E0136A4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327</Words>
  <Characters>1980</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Base>https://www.cabinet.qld.gov.au/documents/2020/Jul/CPOLA/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14</cp:revision>
  <dcterms:created xsi:type="dcterms:W3CDTF">2020-09-16T01:04:00Z</dcterms:created>
  <dcterms:modified xsi:type="dcterms:W3CDTF">2020-09-30T05:05:00Z</dcterms:modified>
  <cp:category>Legislation,Child_Protection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Word 2013</vt:lpwstr>
  </property>
  <property fmtid="{D5CDD505-2E9C-101B-9397-08002B2CF9AE}" pid="4" name="LastSaved">
    <vt:filetime>2020-07-13T00:00:00Z</vt:filetime>
  </property>
  <property fmtid="{D5CDD505-2E9C-101B-9397-08002B2CF9AE}" pid="5" name="ContentTypeId">
    <vt:lpwstr>0x010100DDE14CFDD070B24F85F5DE43654FF01E</vt:lpwstr>
  </property>
</Properties>
</file>